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976629" w14:textId="77777777" w:rsidR="000E2FE1" w:rsidRDefault="00173BB0">
      <w:pPr>
        <w:pStyle w:val="Body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Terms of Reference for the Executive Board</w:t>
      </w:r>
    </w:p>
    <w:p w14:paraId="1137265D" w14:textId="77777777" w:rsidR="000E2FE1" w:rsidRDefault="00173BB0">
      <w:pPr>
        <w:pStyle w:val="Body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fr-FR"/>
        </w:rPr>
        <w:t>Introduction</w:t>
      </w:r>
    </w:p>
    <w:p w14:paraId="0BC76DD1" w14:textId="77777777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</w:rPr>
      </w:pPr>
      <w:r>
        <w:rPr>
          <w:rFonts w:ascii="Arial" w:hAnsi="Arial"/>
        </w:rPr>
        <w:t xml:space="preserve">Tudor Park Multi Academy Trust is governed by a Board of Directors who are accountable to the Department for Education and have overall responsibility and ultimate </w:t>
      </w:r>
      <w:proofErr w:type="gramStart"/>
      <w:r>
        <w:rPr>
          <w:rFonts w:ascii="Arial" w:hAnsi="Arial"/>
        </w:rPr>
        <w:t>decision making</w:t>
      </w:r>
      <w:proofErr w:type="gramEnd"/>
      <w:r>
        <w:rPr>
          <w:rFonts w:ascii="Arial" w:hAnsi="Arial"/>
        </w:rPr>
        <w:t xml:space="preserve"> authority for all the work of the Trust, including the establishing and running of the academies operated by the Trust.</w:t>
      </w:r>
    </w:p>
    <w:p w14:paraId="7CCCAEF5" w14:textId="77777777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The following academies are currently operated by the Trust: </w:t>
      </w:r>
    </w:p>
    <w:p w14:paraId="5360EA82" w14:textId="77777777" w:rsidR="000E2FE1" w:rsidRDefault="00173BB0">
      <w:pPr>
        <w:pStyle w:val="Body"/>
        <w:widowControl w:val="0"/>
        <w:tabs>
          <w:tab w:val="left" w:pos="851"/>
        </w:tabs>
        <w:spacing w:after="240" w:line="360" w:lineRule="auto"/>
        <w:outlineLvl w:val="1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Springwest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Academy;</w:t>
      </w:r>
      <w:proofErr w:type="gramEnd"/>
    </w:p>
    <w:p w14:paraId="481160A8" w14:textId="77777777" w:rsidR="000E2FE1" w:rsidRDefault="00173BB0">
      <w:pPr>
        <w:pStyle w:val="Body"/>
        <w:tabs>
          <w:tab w:val="left" w:pos="851"/>
        </w:tabs>
        <w:spacing w:after="24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Logic Studio </w:t>
      </w:r>
      <w:proofErr w:type="gramStart"/>
      <w:r>
        <w:rPr>
          <w:rFonts w:ascii="Arial" w:eastAsia="Arial" w:hAnsi="Arial" w:cs="Arial"/>
        </w:rPr>
        <w:t>School;</w:t>
      </w:r>
      <w:proofErr w:type="gramEnd"/>
    </w:p>
    <w:p w14:paraId="5DB5E84B" w14:textId="583906F6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  <w:b/>
          <w:bCs/>
        </w:rPr>
      </w:pPr>
      <w:proofErr w:type="gramStart"/>
      <w:r>
        <w:rPr>
          <w:rFonts w:ascii="Arial" w:hAnsi="Arial"/>
        </w:rPr>
        <w:t>In order to</w:t>
      </w:r>
      <w:proofErr w:type="gramEnd"/>
      <w:r>
        <w:rPr>
          <w:rFonts w:ascii="Arial" w:hAnsi="Arial"/>
        </w:rPr>
        <w:t xml:space="preserve"> assist with the discharge of their responsibilities, the Directors have established a</w:t>
      </w:r>
      <w:r w:rsidR="00BB5FF1">
        <w:rPr>
          <w:rFonts w:ascii="Arial" w:hAnsi="Arial"/>
        </w:rPr>
        <w:t>n</w:t>
      </w:r>
      <w:r>
        <w:rPr>
          <w:rFonts w:ascii="Arial" w:hAnsi="Arial"/>
        </w:rPr>
        <w:t xml:space="preserve"> </w:t>
      </w:r>
      <w:r w:rsidR="00BB5FF1">
        <w:rPr>
          <w:rFonts w:ascii="Arial" w:hAnsi="Arial"/>
        </w:rPr>
        <w:t>Executive Board</w:t>
      </w:r>
      <w:r>
        <w:rPr>
          <w:rFonts w:ascii="Arial" w:hAnsi="Arial"/>
        </w:rPr>
        <w:t>.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</w:rPr>
        <w:t>This committee is established pursuant to Articles 100 to 104 (inclusive) of the Articles of Association of the Trust</w:t>
      </w:r>
      <w:r>
        <w:rPr>
          <w:rFonts w:ascii="Arial" w:hAnsi="Arial"/>
          <w:b/>
          <w:bCs/>
        </w:rPr>
        <w:t>.</w:t>
      </w:r>
    </w:p>
    <w:p w14:paraId="269D683A" w14:textId="28643686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The functions and proceedings of the </w:t>
      </w:r>
      <w:r w:rsidR="007C2940">
        <w:rPr>
          <w:rFonts w:ascii="Arial" w:hAnsi="Arial"/>
        </w:rPr>
        <w:t>Executive Board</w:t>
      </w:r>
      <w:r>
        <w:rPr>
          <w:rFonts w:ascii="Arial" w:hAnsi="Arial"/>
        </w:rPr>
        <w:t xml:space="preserve"> shall be subject to these terms of reference, being the regulations made by the Directors in accordance with article 104 of the Articles.</w:t>
      </w:r>
      <w:r>
        <w:rPr>
          <w:rFonts w:ascii="Arial" w:hAnsi="Arial"/>
          <w:b/>
          <w:bCs/>
        </w:rPr>
        <w:t xml:space="preserve">  </w:t>
      </w:r>
    </w:p>
    <w:p w14:paraId="7FB450E2" w14:textId="77777777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</w:rPr>
      </w:pPr>
      <w:r>
        <w:rPr>
          <w:rFonts w:ascii="Arial" w:hAnsi="Arial"/>
        </w:rPr>
        <w:t>The Directors may review these terms of reference at any time but shall review them at least annually.</w:t>
      </w:r>
    </w:p>
    <w:p w14:paraId="438FE9CF" w14:textId="77777777" w:rsidR="000E2FE1" w:rsidRDefault="00173BB0">
      <w:pPr>
        <w:pStyle w:val="Body"/>
        <w:widowControl w:val="0"/>
        <w:tabs>
          <w:tab w:val="left" w:pos="1565"/>
        </w:tabs>
        <w:spacing w:after="240" w:line="360" w:lineRule="auto"/>
        <w:outlineLvl w:val="1"/>
        <w:rPr>
          <w:rFonts w:ascii="Arial" w:eastAsia="Arial" w:hAnsi="Arial" w:cs="Arial"/>
        </w:rPr>
      </w:pPr>
      <w:r>
        <w:rPr>
          <w:rFonts w:ascii="Arial" w:hAnsi="Arial"/>
        </w:rPr>
        <w:t>These terms of reference may only be amended by the Board of Directors.</w:t>
      </w:r>
    </w:p>
    <w:p w14:paraId="03097FD9" w14:textId="77777777" w:rsidR="000E2FE1" w:rsidRDefault="00173BB0">
      <w:pPr>
        <w:pStyle w:val="Body"/>
        <w:spacing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Constitution of the Executive Board</w:t>
      </w:r>
    </w:p>
    <w:p w14:paraId="1E7A4C8D" w14:textId="54B0185B" w:rsidR="000E2FE1" w:rsidRPr="005F2814" w:rsidRDefault="00173BB0">
      <w:pPr>
        <w:pStyle w:val="Body"/>
        <w:spacing w:after="240" w:line="360" w:lineRule="auto"/>
        <w:rPr>
          <w:rFonts w:ascii="Arial" w:eastAsia="Arial" w:hAnsi="Arial" w:cs="Arial"/>
          <w:color w:val="auto"/>
          <w:u w:color="FF0000"/>
        </w:rPr>
      </w:pPr>
      <w:r w:rsidRPr="005F2814">
        <w:rPr>
          <w:rFonts w:ascii="Arial" w:hAnsi="Arial"/>
        </w:rPr>
        <w:t xml:space="preserve">The Executive Board will constitute the Chair of the </w:t>
      </w:r>
      <w:r w:rsidRPr="00F001B0">
        <w:rPr>
          <w:rFonts w:ascii="Arial" w:hAnsi="Arial"/>
        </w:rPr>
        <w:t>Board of Directors, the Chief Executive Officer (CEO),</w:t>
      </w:r>
      <w:r w:rsidR="003D32B6" w:rsidRPr="00F001B0">
        <w:rPr>
          <w:rFonts w:ascii="Arial" w:hAnsi="Arial"/>
        </w:rPr>
        <w:t xml:space="preserve"> </w:t>
      </w:r>
      <w:r w:rsidR="00293D11" w:rsidRPr="00F001B0">
        <w:rPr>
          <w:rFonts w:ascii="Arial" w:hAnsi="Arial"/>
        </w:rPr>
        <w:t>Academy Committee Chai</w:t>
      </w:r>
      <w:r w:rsidR="00A47104" w:rsidRPr="00F001B0">
        <w:rPr>
          <w:rFonts w:ascii="Arial" w:hAnsi="Arial"/>
        </w:rPr>
        <w:t>r</w:t>
      </w:r>
      <w:r w:rsidR="00293D11" w:rsidRPr="00F001B0">
        <w:rPr>
          <w:rFonts w:ascii="Arial" w:hAnsi="Arial"/>
        </w:rPr>
        <w:t>s</w:t>
      </w:r>
      <w:r w:rsidR="00FC7D5C" w:rsidRPr="00F001B0">
        <w:rPr>
          <w:rFonts w:ascii="Arial" w:hAnsi="Arial"/>
        </w:rPr>
        <w:t>,</w:t>
      </w:r>
      <w:r w:rsidRPr="00F001B0">
        <w:rPr>
          <w:rFonts w:ascii="Arial" w:hAnsi="Arial"/>
        </w:rPr>
        <w:t xml:space="preserve"> </w:t>
      </w:r>
      <w:r w:rsidRPr="00F001B0">
        <w:rPr>
          <w:rFonts w:ascii="Arial" w:hAnsi="Arial"/>
          <w:color w:val="auto"/>
        </w:rPr>
        <w:t>the two school Principals</w:t>
      </w:r>
      <w:r w:rsidR="003A2681" w:rsidRPr="005F2814">
        <w:rPr>
          <w:rFonts w:ascii="Arial" w:hAnsi="Arial"/>
          <w:color w:val="auto"/>
        </w:rPr>
        <w:t>,</w:t>
      </w:r>
      <w:r w:rsidR="00FC7D5C" w:rsidRPr="005F2814">
        <w:rPr>
          <w:rFonts w:ascii="Arial" w:hAnsi="Arial"/>
          <w:color w:val="auto"/>
        </w:rPr>
        <w:t xml:space="preserve"> and</w:t>
      </w:r>
      <w:r w:rsidR="009759EC" w:rsidRPr="005F2814">
        <w:rPr>
          <w:rFonts w:ascii="Arial" w:hAnsi="Arial"/>
          <w:color w:val="auto"/>
        </w:rPr>
        <w:t xml:space="preserve"> the </w:t>
      </w:r>
      <w:r w:rsidR="003A2681" w:rsidRPr="005F2814">
        <w:rPr>
          <w:rFonts w:ascii="Arial" w:hAnsi="Arial"/>
          <w:color w:val="auto"/>
        </w:rPr>
        <w:t>Finance Director</w:t>
      </w:r>
      <w:r w:rsidRPr="005F2814">
        <w:rPr>
          <w:rFonts w:ascii="Arial" w:hAnsi="Arial"/>
          <w:color w:val="auto"/>
        </w:rPr>
        <w:t xml:space="preserve">.   </w:t>
      </w:r>
    </w:p>
    <w:p w14:paraId="54D770DA" w14:textId="77777777" w:rsidR="000E2FE1" w:rsidRDefault="00173BB0">
      <w:pPr>
        <w:pStyle w:val="Body"/>
        <w:spacing w:after="240" w:line="360" w:lineRule="auto"/>
        <w:rPr>
          <w:rFonts w:ascii="Arial" w:eastAsia="Arial" w:hAnsi="Arial" w:cs="Arial"/>
          <w:b/>
          <w:bCs/>
        </w:rPr>
      </w:pPr>
      <w:r w:rsidRPr="005F2814">
        <w:rPr>
          <w:rFonts w:ascii="Arial" w:hAnsi="Arial"/>
          <w:b/>
          <w:bCs/>
        </w:rPr>
        <w:t>Proceedings</w:t>
      </w:r>
      <w:r>
        <w:rPr>
          <w:rFonts w:ascii="Arial" w:hAnsi="Arial"/>
          <w:b/>
          <w:bCs/>
        </w:rPr>
        <w:t xml:space="preserve"> of the Executive Board</w:t>
      </w:r>
    </w:p>
    <w:p w14:paraId="68112B71" w14:textId="079276B1" w:rsidR="000E2FE1" w:rsidRDefault="00173BB0">
      <w:pPr>
        <w:pStyle w:val="Body"/>
        <w:spacing w:after="240"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The Executive Board is established </w:t>
      </w:r>
      <w:r w:rsidRPr="002D6F79">
        <w:rPr>
          <w:rFonts w:ascii="Arial" w:hAnsi="Arial"/>
          <w:color w:val="auto"/>
        </w:rPr>
        <w:t>to ensure a more detailed analysis of the schools and their strategic management</w:t>
      </w:r>
      <w:r w:rsidR="00F87779" w:rsidRPr="002D6F79">
        <w:rPr>
          <w:rFonts w:ascii="Arial" w:hAnsi="Arial"/>
          <w:color w:val="auto"/>
        </w:rPr>
        <w:t xml:space="preserve"> and shall be chaired by the CEO</w:t>
      </w:r>
      <w:r w:rsidRPr="002D6F79">
        <w:rPr>
          <w:rFonts w:ascii="Arial" w:hAnsi="Arial"/>
          <w:color w:val="auto"/>
        </w:rPr>
        <w:t>.</w:t>
      </w:r>
      <w:r w:rsidR="007C2940" w:rsidRPr="002D6F79">
        <w:rPr>
          <w:rFonts w:ascii="Arial" w:hAnsi="Arial"/>
          <w:color w:val="auto"/>
        </w:rPr>
        <w:t xml:space="preserve">  </w:t>
      </w:r>
      <w:r w:rsidR="00C80951" w:rsidRPr="002D6F79">
        <w:rPr>
          <w:rFonts w:ascii="Arial" w:hAnsi="Arial"/>
          <w:color w:val="auto"/>
        </w:rPr>
        <w:t xml:space="preserve">The </w:t>
      </w:r>
      <w:r w:rsidR="00262E8D" w:rsidRPr="002D6F79">
        <w:rPr>
          <w:rFonts w:ascii="Arial" w:hAnsi="Arial"/>
          <w:color w:val="auto"/>
        </w:rPr>
        <w:t>Executive Board</w:t>
      </w:r>
      <w:r w:rsidR="00F27E22" w:rsidRPr="002D6F79">
        <w:rPr>
          <w:rFonts w:ascii="Arial" w:hAnsi="Arial"/>
          <w:color w:val="auto"/>
        </w:rPr>
        <w:t xml:space="preserve"> sits to generate a greater understanding across the Trust, with all decisions </w:t>
      </w:r>
      <w:r w:rsidR="00E54CA6" w:rsidRPr="002D6F79">
        <w:rPr>
          <w:rFonts w:ascii="Arial" w:hAnsi="Arial"/>
          <w:color w:val="auto"/>
        </w:rPr>
        <w:t>recommended to the Board of Directors</w:t>
      </w:r>
      <w:r w:rsidR="009D334E" w:rsidRPr="002D6F79">
        <w:rPr>
          <w:rFonts w:ascii="Arial" w:hAnsi="Arial"/>
          <w:color w:val="auto"/>
        </w:rPr>
        <w:t xml:space="preserve">.  </w:t>
      </w:r>
      <w:r w:rsidRPr="002D6F79">
        <w:rPr>
          <w:rFonts w:ascii="Arial" w:hAnsi="Arial"/>
          <w:color w:val="auto"/>
        </w:rPr>
        <w:t xml:space="preserve">The board can sit at </w:t>
      </w:r>
      <w:r>
        <w:rPr>
          <w:rFonts w:ascii="Arial" w:hAnsi="Arial"/>
        </w:rPr>
        <w:t>any time, although meetings will be forecast annually.  The board has the following primary functions:</w:t>
      </w:r>
      <w:r w:rsidR="000F5F41" w:rsidRPr="000F5F4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</w:p>
    <w:p w14:paraId="75BC7C7E" w14:textId="77777777" w:rsidR="000E2FE1" w:rsidRDefault="00173BB0">
      <w:pPr>
        <w:pStyle w:val="ListParagraph"/>
        <w:numPr>
          <w:ilvl w:val="0"/>
          <w:numId w:val="2"/>
        </w:numPr>
        <w:spacing w:after="240" w:line="360" w:lineRule="auto"/>
        <w:rPr>
          <w:rFonts w:ascii="Arial" w:hAnsi="Arial"/>
        </w:rPr>
      </w:pPr>
      <w:r>
        <w:rPr>
          <w:rFonts w:ascii="Arial" w:hAnsi="Arial"/>
        </w:rPr>
        <w:t>Review the Scheme of Delegation annually</w:t>
      </w:r>
    </w:p>
    <w:p w14:paraId="5B00E3EF" w14:textId="77777777" w:rsidR="000E2FE1" w:rsidRPr="00783418" w:rsidRDefault="00173BB0">
      <w:pPr>
        <w:pStyle w:val="ListParagraph"/>
        <w:numPr>
          <w:ilvl w:val="0"/>
          <w:numId w:val="2"/>
        </w:numPr>
        <w:spacing w:after="240" w:line="360" w:lineRule="auto"/>
        <w:rPr>
          <w:rFonts w:ascii="Arial" w:hAnsi="Arial"/>
        </w:rPr>
      </w:pPr>
      <w:r w:rsidRPr="00783418">
        <w:rPr>
          <w:rFonts w:ascii="Arial" w:hAnsi="Arial"/>
        </w:rPr>
        <w:lastRenderedPageBreak/>
        <w:t>Review student and staff wellbeing</w:t>
      </w:r>
    </w:p>
    <w:p w14:paraId="4C3532E5" w14:textId="6D11146A" w:rsidR="000E2FE1" w:rsidRPr="00783418" w:rsidRDefault="00173BB0">
      <w:pPr>
        <w:pStyle w:val="ListParagraph"/>
        <w:numPr>
          <w:ilvl w:val="0"/>
          <w:numId w:val="2"/>
        </w:numPr>
        <w:spacing w:after="240" w:line="360" w:lineRule="auto"/>
        <w:rPr>
          <w:rFonts w:ascii="Arial" w:hAnsi="Arial"/>
        </w:rPr>
      </w:pPr>
      <w:r w:rsidRPr="00783418">
        <w:rPr>
          <w:rFonts w:ascii="Arial" w:hAnsi="Arial"/>
        </w:rPr>
        <w:t xml:space="preserve">Review the progress against </w:t>
      </w:r>
      <w:r w:rsidR="005E48B5" w:rsidRPr="00783418">
        <w:rPr>
          <w:rFonts w:ascii="Arial" w:hAnsi="Arial"/>
        </w:rPr>
        <w:t>d</w:t>
      </w:r>
      <w:r w:rsidRPr="00783418">
        <w:rPr>
          <w:rFonts w:ascii="Arial" w:hAnsi="Arial"/>
        </w:rPr>
        <w:t>evelopment plans</w:t>
      </w:r>
      <w:r w:rsidR="005E48B5" w:rsidRPr="00783418">
        <w:rPr>
          <w:rFonts w:ascii="Arial" w:hAnsi="Arial"/>
        </w:rPr>
        <w:t xml:space="preserve">, including Trust growth, which can be </w:t>
      </w:r>
      <w:r w:rsidR="0046421E" w:rsidRPr="00783418">
        <w:rPr>
          <w:rFonts w:ascii="Arial" w:hAnsi="Arial"/>
        </w:rPr>
        <w:t>done through a separate meeting</w:t>
      </w:r>
      <w:r w:rsidR="00E37E07" w:rsidRPr="00783418">
        <w:rPr>
          <w:rFonts w:ascii="Arial" w:hAnsi="Arial"/>
        </w:rPr>
        <w:t xml:space="preserve"> and will include a </w:t>
      </w:r>
      <w:proofErr w:type="gramStart"/>
      <w:r w:rsidR="00E37E07" w:rsidRPr="00783418">
        <w:rPr>
          <w:rFonts w:ascii="Arial" w:hAnsi="Arial"/>
        </w:rPr>
        <w:t>Member</w:t>
      </w:r>
      <w:proofErr w:type="gramEnd"/>
      <w:r w:rsidR="00783418">
        <w:rPr>
          <w:rFonts w:ascii="Arial" w:hAnsi="Arial"/>
        </w:rPr>
        <w:t>.</w:t>
      </w:r>
    </w:p>
    <w:p w14:paraId="2FEE6AB0" w14:textId="77777777" w:rsidR="000E2FE1" w:rsidRDefault="00173BB0">
      <w:pPr>
        <w:pStyle w:val="Body"/>
        <w:spacing w:after="240" w:line="360" w:lineRule="auto"/>
        <w:rPr>
          <w:rFonts w:ascii="Arial" w:eastAsia="Arial" w:hAnsi="Arial" w:cs="Arial"/>
          <w:b/>
          <w:bCs/>
        </w:rPr>
      </w:pPr>
      <w:r w:rsidRPr="00783418">
        <w:rPr>
          <w:rFonts w:ascii="Arial" w:hAnsi="Arial"/>
          <w:b/>
          <w:bCs/>
        </w:rPr>
        <w:t>Delegated Powers</w:t>
      </w:r>
    </w:p>
    <w:p w14:paraId="687FA033" w14:textId="334E6B84" w:rsidR="000E2FE1" w:rsidRPr="002D6F79" w:rsidRDefault="00173BB0">
      <w:pPr>
        <w:pStyle w:val="Body"/>
        <w:spacing w:after="240" w:line="360" w:lineRule="auto"/>
        <w:rPr>
          <w:rFonts w:ascii="Arial" w:eastAsia="Arial" w:hAnsi="Arial" w:cs="Arial"/>
          <w:color w:val="auto"/>
        </w:rPr>
      </w:pPr>
      <w:r>
        <w:rPr>
          <w:rFonts w:ascii="Arial" w:hAnsi="Arial"/>
        </w:rPr>
        <w:t xml:space="preserve">The powers delegated to the </w:t>
      </w:r>
      <w:r w:rsidRPr="002D6F79">
        <w:rPr>
          <w:rFonts w:ascii="Arial" w:hAnsi="Arial"/>
          <w:color w:val="auto"/>
        </w:rPr>
        <w:t>Executive Board are detailed in the Scheme of Delegation which is agreed by the Board of Directors.</w:t>
      </w:r>
      <w:r w:rsidR="006D2B0A" w:rsidRPr="002D6F79">
        <w:rPr>
          <w:rFonts w:ascii="Arial" w:hAnsi="Arial"/>
          <w:color w:val="auto"/>
        </w:rPr>
        <w:t xml:space="preserve">  As a </w:t>
      </w:r>
      <w:r w:rsidR="009D334E" w:rsidRPr="002D6F79">
        <w:rPr>
          <w:rFonts w:ascii="Arial" w:hAnsi="Arial"/>
          <w:color w:val="auto"/>
        </w:rPr>
        <w:t>non-</w:t>
      </w:r>
      <w:proofErr w:type="gramStart"/>
      <w:r w:rsidR="009D334E" w:rsidRPr="002D6F79">
        <w:rPr>
          <w:rFonts w:ascii="Arial" w:hAnsi="Arial"/>
          <w:color w:val="auto"/>
        </w:rPr>
        <w:t>decision making</w:t>
      </w:r>
      <w:proofErr w:type="gramEnd"/>
      <w:r w:rsidR="009D334E" w:rsidRPr="002D6F79">
        <w:rPr>
          <w:rFonts w:ascii="Arial" w:hAnsi="Arial"/>
          <w:color w:val="auto"/>
        </w:rPr>
        <w:t xml:space="preserve"> </w:t>
      </w:r>
      <w:r w:rsidR="00262E8D" w:rsidRPr="002D6F79">
        <w:rPr>
          <w:rFonts w:ascii="Arial" w:hAnsi="Arial"/>
          <w:color w:val="auto"/>
        </w:rPr>
        <w:t>c</w:t>
      </w:r>
      <w:r w:rsidR="009D334E" w:rsidRPr="002D6F79">
        <w:rPr>
          <w:rFonts w:ascii="Arial" w:hAnsi="Arial"/>
          <w:color w:val="auto"/>
        </w:rPr>
        <w:t>ommittee the Executive Board does not currently have any delegated powers.</w:t>
      </w:r>
    </w:p>
    <w:p w14:paraId="0331C290" w14:textId="77777777" w:rsidR="000E2FE1" w:rsidRDefault="000E2FE1">
      <w:pPr>
        <w:pStyle w:val="Body"/>
        <w:spacing w:after="240" w:line="360" w:lineRule="auto"/>
        <w:rPr>
          <w:rFonts w:ascii="Arial" w:eastAsia="Arial" w:hAnsi="Arial" w:cs="Arial"/>
        </w:rPr>
      </w:pPr>
    </w:p>
    <w:p w14:paraId="2701AF5C" w14:textId="77777777" w:rsidR="000E2FE1" w:rsidRDefault="000E2FE1">
      <w:pPr>
        <w:pStyle w:val="Body"/>
        <w:spacing w:after="240" w:line="360" w:lineRule="auto"/>
      </w:pPr>
    </w:p>
    <w:sectPr w:rsidR="000E2FE1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21311" w14:textId="77777777" w:rsidR="009608DA" w:rsidRDefault="009608DA">
      <w:r>
        <w:separator/>
      </w:r>
    </w:p>
  </w:endnote>
  <w:endnote w:type="continuationSeparator" w:id="0">
    <w:p w14:paraId="2FBC56AD" w14:textId="77777777" w:rsidR="009608DA" w:rsidRDefault="0096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01CC" w14:textId="77777777" w:rsidR="000E2FE1" w:rsidRDefault="000E2FE1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FB001" w14:textId="77777777" w:rsidR="009608DA" w:rsidRDefault="009608DA">
      <w:r>
        <w:separator/>
      </w:r>
    </w:p>
  </w:footnote>
  <w:footnote w:type="continuationSeparator" w:id="0">
    <w:p w14:paraId="50449CDB" w14:textId="77777777" w:rsidR="009608DA" w:rsidRDefault="0096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F4FF" w14:textId="77777777" w:rsidR="000E2FE1" w:rsidRDefault="000E2FE1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01998"/>
    <w:multiLevelType w:val="hybridMultilevel"/>
    <w:tmpl w:val="4C001368"/>
    <w:numStyleLink w:val="ImportedStyle1"/>
  </w:abstractNum>
  <w:abstractNum w:abstractNumId="1" w15:restartNumberingAfterBreak="0">
    <w:nsid w:val="70B10BB7"/>
    <w:multiLevelType w:val="hybridMultilevel"/>
    <w:tmpl w:val="4C001368"/>
    <w:styleLink w:val="ImportedStyle1"/>
    <w:lvl w:ilvl="0" w:tplc="EE5E398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F2A74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58C5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81A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DE51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F876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B0ED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24D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14BB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54881968">
    <w:abstractNumId w:val="1"/>
  </w:num>
  <w:num w:numId="2" w16cid:durableId="147109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E1"/>
    <w:rsid w:val="000E2FE1"/>
    <w:rsid w:val="000F5F41"/>
    <w:rsid w:val="00173BB0"/>
    <w:rsid w:val="001B4295"/>
    <w:rsid w:val="00213AF2"/>
    <w:rsid w:val="00262E8D"/>
    <w:rsid w:val="00293D11"/>
    <w:rsid w:val="002D6F79"/>
    <w:rsid w:val="003A2681"/>
    <w:rsid w:val="003D32B6"/>
    <w:rsid w:val="0046421E"/>
    <w:rsid w:val="005E48B5"/>
    <w:rsid w:val="005F2814"/>
    <w:rsid w:val="006D25DE"/>
    <w:rsid w:val="006D2B0A"/>
    <w:rsid w:val="00783418"/>
    <w:rsid w:val="007C2940"/>
    <w:rsid w:val="009608DA"/>
    <w:rsid w:val="009759EC"/>
    <w:rsid w:val="009D334E"/>
    <w:rsid w:val="00A13654"/>
    <w:rsid w:val="00A47104"/>
    <w:rsid w:val="00BB5FF1"/>
    <w:rsid w:val="00BD090F"/>
    <w:rsid w:val="00C80951"/>
    <w:rsid w:val="00CF7659"/>
    <w:rsid w:val="00D943DA"/>
    <w:rsid w:val="00E37E07"/>
    <w:rsid w:val="00E54CA6"/>
    <w:rsid w:val="00F001B0"/>
    <w:rsid w:val="00F27E22"/>
    <w:rsid w:val="00F87779"/>
    <w:rsid w:val="00FB0039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1FDD1"/>
  <w15:docId w15:val="{4D598FD5-226B-4756-A79D-AE545EAA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Becs</dc:creator>
  <cp:lastModifiedBy>Becs Wilson</cp:lastModifiedBy>
  <cp:revision>29</cp:revision>
  <dcterms:created xsi:type="dcterms:W3CDTF">2018-09-15T11:09:00Z</dcterms:created>
  <dcterms:modified xsi:type="dcterms:W3CDTF">2022-10-12T11:41:00Z</dcterms:modified>
</cp:coreProperties>
</file>